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558E" w14:textId="02A8808E" w:rsidR="00F6053F" w:rsidRDefault="005A028E" w:rsidP="007210C2">
      <w:pPr>
        <w:rPr>
          <w:b/>
          <w:bCs/>
        </w:rPr>
      </w:pPr>
      <w:r>
        <w:rPr>
          <w:b/>
          <w:bCs/>
        </w:rPr>
        <w:t xml:space="preserve">ARTICLE </w:t>
      </w:r>
      <w:r w:rsidR="000B1723">
        <w:rPr>
          <w:b/>
          <w:bCs/>
        </w:rPr>
        <w:t xml:space="preserve">REDIGE PAR </w:t>
      </w:r>
      <w:r w:rsidR="003640D7">
        <w:rPr>
          <w:b/>
          <w:bCs/>
        </w:rPr>
        <w:t>NADINE RENAU</w:t>
      </w:r>
      <w:r w:rsidR="00F6053F">
        <w:rPr>
          <w:b/>
          <w:bCs/>
        </w:rPr>
        <w:t>D, ASSOCI</w:t>
      </w:r>
      <w:r w:rsidR="00BB171E">
        <w:rPr>
          <w:b/>
          <w:bCs/>
        </w:rPr>
        <w:t>EE</w:t>
      </w:r>
      <w:r w:rsidR="003640D7">
        <w:rPr>
          <w:b/>
          <w:bCs/>
        </w:rPr>
        <w:t xml:space="preserve"> </w:t>
      </w:r>
      <w:r w:rsidR="006D7357">
        <w:rPr>
          <w:b/>
          <w:bCs/>
        </w:rPr>
        <w:t>DU CABINET BDO, MEMBRE DE L’ADICEF</w:t>
      </w:r>
    </w:p>
    <w:p w14:paraId="13E0F0F9" w14:textId="5A45D9AB" w:rsidR="007210C2" w:rsidRPr="00BB171E" w:rsidRDefault="007210C2" w:rsidP="007210C2">
      <w:pPr>
        <w:rPr>
          <w:b/>
          <w:bCs/>
          <w:sz w:val="32"/>
          <w:szCs w:val="32"/>
        </w:rPr>
      </w:pPr>
      <w:r w:rsidRPr="00BB171E">
        <w:rPr>
          <w:b/>
          <w:bCs/>
          <w:sz w:val="32"/>
          <w:szCs w:val="32"/>
        </w:rPr>
        <w:t>Facturation électronique : une transformation silencieuse aux enjeux majeurs pour le secteur financier</w:t>
      </w:r>
    </w:p>
    <w:p w14:paraId="378934E8" w14:textId="77777777" w:rsidR="007210C2" w:rsidRPr="007210C2" w:rsidRDefault="007210C2" w:rsidP="007210C2">
      <w:pPr>
        <w:rPr>
          <w:b/>
          <w:bCs/>
        </w:rPr>
      </w:pPr>
      <w:r w:rsidRPr="007210C2">
        <w:rPr>
          <w:b/>
          <w:bCs/>
        </w:rPr>
        <w:t>Introduction</w:t>
      </w:r>
    </w:p>
    <w:p w14:paraId="25BF87D1" w14:textId="77777777" w:rsidR="007210C2" w:rsidRPr="007210C2" w:rsidRDefault="007210C2" w:rsidP="00E20E44">
      <w:pPr>
        <w:jc w:val="both"/>
      </w:pPr>
      <w:r w:rsidRPr="007210C2">
        <w:t>Il est des réformes qui avancent sans bruit, mais dont les effets résonnent longtemps dans les structures qu’elles traversent. La généralisation de la facturation électronique en France appartient à cette catégorie. Présentée comme une modernisation des échanges économiques et un levier de lutte contre la fraude à la TVA, elle s’inscrit en réalité dans une transformation plus profonde : celle d’un passage du document au flux, de la facture comme support à la facture comme donnée.</w:t>
      </w:r>
    </w:p>
    <w:p w14:paraId="3FCA271B" w14:textId="77777777" w:rsidR="007210C2" w:rsidRPr="007210C2" w:rsidRDefault="007210C2" w:rsidP="00E20E44">
      <w:pPr>
        <w:jc w:val="both"/>
      </w:pPr>
      <w:r w:rsidRPr="007210C2">
        <w:t>Pour les entreprises industrielles ou commerciales, l’enjeu est déjà considérable. Mais pour le secteur financier, il prend une dimension particulière. Banques, établissements de crédit, sociétés de financement évoluent dans un univers où la fiscalité indirecte est fragmentée, où les opérations sont souvent exonérées, et où les flux internes rivalisent en complexité avec les flux externes.</w:t>
      </w:r>
    </w:p>
    <w:p w14:paraId="494B09E7" w14:textId="690E5691" w:rsidR="007210C2" w:rsidRPr="007210C2" w:rsidRDefault="007210C2" w:rsidP="00E20E44">
      <w:pPr>
        <w:jc w:val="both"/>
      </w:pPr>
      <w:r w:rsidRPr="007210C2">
        <w:t xml:space="preserve">Derrière l’apparente simplicité des principes, la réforme agit ici comme un révélateur : elle expose les zones d’ombre, met à l’épreuve les modèles historiques, et impose une rigueur </w:t>
      </w:r>
      <w:r>
        <w:t>accrue</w:t>
      </w:r>
      <w:r w:rsidRPr="007210C2">
        <w:t xml:space="preserve"> dans la gestion de la donnée. Car dans la banque, plus qu’ailleurs, la facture n’est jamais un objet isolé : elle est le point de rencontre entre contrat, système, fiscalité et contrôle interne.</w:t>
      </w:r>
    </w:p>
    <w:p w14:paraId="5A5B5F15" w14:textId="77777777" w:rsidR="007210C2" w:rsidRDefault="007210C2" w:rsidP="00E20E44">
      <w:pPr>
        <w:jc w:val="both"/>
        <w:rPr>
          <w:b/>
          <w:bCs/>
        </w:rPr>
      </w:pPr>
    </w:p>
    <w:p w14:paraId="3227F30D" w14:textId="661BFA3A" w:rsidR="007210C2" w:rsidRPr="007210C2" w:rsidRDefault="007210C2" w:rsidP="00E20E44">
      <w:pPr>
        <w:jc w:val="both"/>
        <w:rPr>
          <w:b/>
          <w:bCs/>
        </w:rPr>
      </w:pPr>
      <w:r w:rsidRPr="007210C2">
        <w:rPr>
          <w:b/>
          <w:bCs/>
        </w:rPr>
        <w:t>Une réforme fiscale structurante, mais à l’impact asymétrique</w:t>
      </w:r>
    </w:p>
    <w:p w14:paraId="41A40C98" w14:textId="77777777" w:rsidR="007210C2" w:rsidRPr="007210C2" w:rsidRDefault="007210C2" w:rsidP="00E20E44">
      <w:pPr>
        <w:jc w:val="both"/>
      </w:pPr>
      <w:r w:rsidRPr="007210C2">
        <w:t>La réforme repose sur deux piliers. D’une part, l’e-</w:t>
      </w:r>
      <w:proofErr w:type="spellStart"/>
      <w:r w:rsidRPr="007210C2">
        <w:t>invoicing</w:t>
      </w:r>
      <w:proofErr w:type="spellEnd"/>
      <w:r w:rsidRPr="007210C2">
        <w:t xml:space="preserve"> impose l’émission et la réception de factures électroniques pour les opérations B2B domestiques entre assujettis établis en France. D’autre part, l’e-</w:t>
      </w:r>
      <w:proofErr w:type="spellStart"/>
      <w:r w:rsidRPr="007210C2">
        <w:t>reporting</w:t>
      </w:r>
      <w:proofErr w:type="spellEnd"/>
      <w:r w:rsidRPr="007210C2">
        <w:t xml:space="preserve"> organise la transmission à l’administration de données relatives aux transactions et, dans certains cas, aux paiements.</w:t>
      </w:r>
    </w:p>
    <w:p w14:paraId="4D83F903" w14:textId="77777777" w:rsidR="007210C2" w:rsidRPr="007210C2" w:rsidRDefault="007210C2" w:rsidP="00E20E44">
      <w:pPr>
        <w:jc w:val="both"/>
      </w:pPr>
      <w:r w:rsidRPr="007210C2">
        <w:t>Le calendrier est désormais fixé : réception obligatoire pour toutes les entreprises à compter du 1er septembre 2026, émission progressive selon la taille jusqu’en 2027. Un calendrier clair, mais dont la portée varie fortement selon les secteurs.</w:t>
      </w:r>
    </w:p>
    <w:p w14:paraId="5AF4C11A" w14:textId="5ED60F7D" w:rsidR="007210C2" w:rsidRPr="007210C2" w:rsidRDefault="007210C2" w:rsidP="00E20E44">
      <w:pPr>
        <w:jc w:val="both"/>
      </w:pPr>
      <w:r w:rsidRPr="007210C2">
        <w:t xml:space="preserve">Dans le secteur financier, la première lecture pourrait laisser croire à un impact limité. Une grande partie des opérations bancaires est en effet exonérée de TVA, et échappe ainsi, en principe, au périmètre de la réforme. </w:t>
      </w:r>
    </w:p>
    <w:p w14:paraId="7AA0FA8D" w14:textId="77777777" w:rsidR="007210C2" w:rsidRPr="007210C2" w:rsidRDefault="007210C2" w:rsidP="00E20E44">
      <w:pPr>
        <w:jc w:val="both"/>
      </w:pPr>
      <w:r w:rsidRPr="007210C2">
        <w:lastRenderedPageBreak/>
        <w:t>Mais cette apparente exemption est trompeuse. Car les établissements financiers restent pleinement concernés à plusieurs titres.</w:t>
      </w:r>
    </w:p>
    <w:p w14:paraId="0CB8F9F2" w14:textId="77777777" w:rsidR="007210C2" w:rsidRPr="007210C2" w:rsidRDefault="007210C2" w:rsidP="00E20E44">
      <w:pPr>
        <w:jc w:val="both"/>
      </w:pPr>
      <w:r w:rsidRPr="007210C2">
        <w:t xml:space="preserve">D’abord, par leurs </w:t>
      </w:r>
      <w:r w:rsidRPr="007210C2">
        <w:rPr>
          <w:b/>
          <w:bCs/>
        </w:rPr>
        <w:t>achats</w:t>
      </w:r>
      <w:r w:rsidRPr="007210C2">
        <w:t>. Une banque, même majoritairement exonérée, doit recevoir les factures électroniques de ses fournisseurs : prestations informatiques, conseil, immobilier, sous-traitance. Cette seule dimension suffit à transformer en profondeur les processus de comptes fournisseurs.</w:t>
      </w:r>
    </w:p>
    <w:p w14:paraId="2F59832B" w14:textId="77777777" w:rsidR="007210C2" w:rsidRPr="007210C2" w:rsidRDefault="007210C2" w:rsidP="00E20E44">
      <w:pPr>
        <w:jc w:val="both"/>
      </w:pPr>
      <w:r w:rsidRPr="007210C2">
        <w:t xml:space="preserve">Ensuite, par leurs </w:t>
      </w:r>
      <w:r w:rsidRPr="007210C2">
        <w:rPr>
          <w:b/>
          <w:bCs/>
        </w:rPr>
        <w:t>poches d’activité taxable</w:t>
      </w:r>
      <w:r w:rsidRPr="007210C2">
        <w:t>. Les refacturations internes, les prestations de services, certaines activités annexes ou immobilières entrent dans le champ de la TVA et, partant, dans celui de la facturation électronique.</w:t>
      </w:r>
    </w:p>
    <w:p w14:paraId="1809E2B0" w14:textId="77777777" w:rsidR="007210C2" w:rsidRPr="007210C2" w:rsidRDefault="007210C2" w:rsidP="00E20E44">
      <w:pPr>
        <w:jc w:val="both"/>
      </w:pPr>
      <w:r w:rsidRPr="007210C2">
        <w:t xml:space="preserve">Enfin, par leurs </w:t>
      </w:r>
      <w:r w:rsidRPr="007210C2">
        <w:rPr>
          <w:b/>
          <w:bCs/>
        </w:rPr>
        <w:t>flux hybrides</w:t>
      </w:r>
      <w:r w:rsidRPr="007210C2">
        <w:t>, mêlant opérations exonérées et taxables, souvent au sein d’un même processus ou d’un même contrat. C’est dans ces zones grises que se concentrent les principaux risques.</w:t>
      </w:r>
    </w:p>
    <w:p w14:paraId="4E4A3A27" w14:textId="77777777" w:rsidR="007210C2" w:rsidRPr="007210C2" w:rsidRDefault="007210C2" w:rsidP="00E20E44">
      <w:pPr>
        <w:jc w:val="both"/>
      </w:pPr>
      <w:r w:rsidRPr="007210C2">
        <w:t xml:space="preserve">Ainsi, l’impact de la réforme ne se mesure pas au volume de TVA collectée, mais à la </w:t>
      </w:r>
      <w:r w:rsidRPr="007210C2">
        <w:rPr>
          <w:b/>
          <w:bCs/>
        </w:rPr>
        <w:t>complexité des flux</w:t>
      </w:r>
      <w:r w:rsidRPr="007210C2">
        <w:t xml:space="preserve"> et à la capacité de l’organisation à les qualifier correctement.</w:t>
      </w:r>
    </w:p>
    <w:p w14:paraId="17F983A6" w14:textId="77777777" w:rsidR="007210C2" w:rsidRDefault="007210C2" w:rsidP="00E20E44">
      <w:pPr>
        <w:jc w:val="both"/>
      </w:pPr>
    </w:p>
    <w:p w14:paraId="4071C883" w14:textId="7E5B8490" w:rsidR="007210C2" w:rsidRPr="007210C2" w:rsidRDefault="007210C2" w:rsidP="00E20E44">
      <w:pPr>
        <w:jc w:val="both"/>
        <w:rPr>
          <w:b/>
          <w:bCs/>
        </w:rPr>
      </w:pPr>
      <w:r w:rsidRPr="007210C2">
        <w:rPr>
          <w:b/>
          <w:bCs/>
        </w:rPr>
        <w:t>Du document au système : la mutation des processus et de la donnée</w:t>
      </w:r>
    </w:p>
    <w:p w14:paraId="68263123" w14:textId="1C0B4801" w:rsidR="007210C2" w:rsidRDefault="007210C2" w:rsidP="00E20E44">
      <w:pPr>
        <w:jc w:val="both"/>
      </w:pPr>
      <w:r w:rsidRPr="007210C2">
        <w:t xml:space="preserve">La facturation électronique marque une rupture dans la manière de concevoir les processus </w:t>
      </w:r>
      <w:r w:rsidR="001D444C">
        <w:t xml:space="preserve">administratifs et </w:t>
      </w:r>
      <w:r w:rsidRPr="007210C2">
        <w:t>comptables. Elle impose de penser la facture non plus comme un document que l’on archive, mais comme un flux que l’on traite, enrichit et contrôle.</w:t>
      </w:r>
    </w:p>
    <w:p w14:paraId="4250605A" w14:textId="0853F64E" w:rsidR="000364F0" w:rsidRPr="000364F0" w:rsidRDefault="000364F0" w:rsidP="00E20E44">
      <w:pPr>
        <w:jc w:val="both"/>
      </w:pPr>
      <w:r w:rsidRPr="000364F0">
        <w:t>La réforme de la facturation électronique repose sur deux obligations : l’émission et la réception de factures électroniques dans les relations B2B domestiques, et la transmission de données de transactions via le e-</w:t>
      </w:r>
      <w:proofErr w:type="spellStart"/>
      <w:r w:rsidRPr="000364F0">
        <w:t>reporting</w:t>
      </w:r>
      <w:proofErr w:type="spellEnd"/>
      <w:r w:rsidRPr="000364F0">
        <w:t>.</w:t>
      </w:r>
      <w:r>
        <w:t xml:space="preserve"> </w:t>
      </w:r>
      <w:r w:rsidRPr="000364F0">
        <w:t xml:space="preserve">Mais derrière ces obligations se cache une réalité plus fondamentale : la nécessité d’inscrire la facture dans un </w:t>
      </w:r>
      <w:r w:rsidRPr="000364F0">
        <w:rPr>
          <w:b/>
          <w:bCs/>
        </w:rPr>
        <w:t>écosystème numérique structuré</w:t>
      </w:r>
      <w:r w:rsidRPr="000364F0">
        <w:t>, fondé sur des standards et des flux interopérables.</w:t>
      </w:r>
    </w:p>
    <w:p w14:paraId="208D3E8E" w14:textId="77777777" w:rsidR="000364F0" w:rsidRPr="000364F0" w:rsidRDefault="000364F0" w:rsidP="00E20E44">
      <w:pPr>
        <w:jc w:val="both"/>
      </w:pPr>
      <w:r w:rsidRPr="000364F0">
        <w:t xml:space="preserve">Chaque facture devra désormais être émise dans un format structuré — Factur-X, UBL, CII — reposant sur un </w:t>
      </w:r>
      <w:r w:rsidRPr="000364F0">
        <w:rPr>
          <w:b/>
          <w:bCs/>
        </w:rPr>
        <w:t>balisage précis des données</w:t>
      </w:r>
      <w:r w:rsidRPr="000364F0">
        <w:t>. Il ne s’agit plus de transmettre un document lisible, mais de fournir une information intelligible pour les systèmes : identifiants, montants, taux de TVA, nature de l’opération, échéances, références contractuelles.</w:t>
      </w:r>
    </w:p>
    <w:p w14:paraId="65A5899A" w14:textId="77777777" w:rsidR="000364F0" w:rsidRPr="000364F0" w:rsidRDefault="000364F0" w:rsidP="00E20E44">
      <w:pPr>
        <w:jc w:val="both"/>
      </w:pPr>
      <w:r w:rsidRPr="000364F0">
        <w:t>Ce balisage, en apparence technique, constitue en réalité un enjeu majeur. Il suppose que les systèmes amont — ERP, outils de facturation, systèmes métiers — soient capables de produire une donnée fiable, complète et cohérente. La moindre incohérence, la moindre donnée manquante peut entraîner un rejet.</w:t>
      </w:r>
    </w:p>
    <w:p w14:paraId="1C380CF8" w14:textId="77777777" w:rsidR="007210C2" w:rsidRDefault="007210C2" w:rsidP="00E20E44">
      <w:pPr>
        <w:jc w:val="both"/>
      </w:pPr>
      <w:r w:rsidRPr="007210C2">
        <w:t xml:space="preserve">Du côté des achats, la transformation est immédiate. Les circuits traditionnels — réception par </w:t>
      </w:r>
      <w:proofErr w:type="gramStart"/>
      <w:r w:rsidRPr="007210C2">
        <w:t>e-mail</w:t>
      </w:r>
      <w:proofErr w:type="gramEnd"/>
      <w:r w:rsidRPr="007210C2">
        <w:t xml:space="preserve">, validation manuelle, saisie comptable — cèdent la place à des flux </w:t>
      </w:r>
      <w:r w:rsidRPr="007210C2">
        <w:lastRenderedPageBreak/>
        <w:t>structurés, pilotés par des statuts. Une facture peut être rejetée avant même d’entrer dans le système, ou bloquée pour défaut de données. La qualité en amont devient un enjeu central.</w:t>
      </w:r>
    </w:p>
    <w:p w14:paraId="7F675263" w14:textId="77777777" w:rsidR="000364F0" w:rsidRDefault="000364F0" w:rsidP="00E20E44">
      <w:pPr>
        <w:jc w:val="both"/>
      </w:pPr>
    </w:p>
    <w:p w14:paraId="01717543" w14:textId="2AB1C0EC" w:rsidR="000364F0" w:rsidRPr="00E20E44" w:rsidRDefault="000364F0" w:rsidP="00E20E44">
      <w:pPr>
        <w:jc w:val="both"/>
        <w:rPr>
          <w:b/>
          <w:bCs/>
        </w:rPr>
      </w:pPr>
      <w:r>
        <w:rPr>
          <w:b/>
          <w:bCs/>
        </w:rPr>
        <w:t>Evolution des référentiels</w:t>
      </w:r>
    </w:p>
    <w:p w14:paraId="2D56463C" w14:textId="77777777" w:rsidR="007210C2" w:rsidRPr="007210C2" w:rsidRDefault="007210C2" w:rsidP="00E20E44">
      <w:pPr>
        <w:jc w:val="both"/>
      </w:pPr>
      <w:r w:rsidRPr="007210C2">
        <w:t>Dans les banques, cette évolution se heurte à une réalité : la diversité des référentiels et des axes analytiques. Une facture fournisseur n’est jamais imputée sur un seul compte ; elle doit être ventilée entre entités, métiers, projets, centres de coûts. La donnée fiscale, standardisée, doit être enrichie par une donnée métier foisonnante.</w:t>
      </w:r>
    </w:p>
    <w:p w14:paraId="61D131DA" w14:textId="77777777" w:rsidR="007210C2" w:rsidRPr="007210C2" w:rsidRDefault="007210C2" w:rsidP="00E20E44">
      <w:pPr>
        <w:jc w:val="both"/>
      </w:pPr>
      <w:r w:rsidRPr="007210C2">
        <w:t xml:space="preserve">C’est ici que la réforme révèle un enjeu majeur : la nécessité de disposer d’un </w:t>
      </w:r>
      <w:r w:rsidRPr="007210C2">
        <w:rPr>
          <w:b/>
          <w:bCs/>
        </w:rPr>
        <w:t>référentiel tiers fiable</w:t>
      </w:r>
      <w:r w:rsidRPr="007210C2">
        <w:t xml:space="preserve"> et d’une </w:t>
      </w:r>
      <w:r w:rsidRPr="007210C2">
        <w:rPr>
          <w:b/>
          <w:bCs/>
        </w:rPr>
        <w:t>cartographie claire des opérations</w:t>
      </w:r>
      <w:r w:rsidRPr="007210C2">
        <w:t>. Sans cela, l’automatisation promise par la facturation électronique se transforme en multiplication des rejets et des corrections manuelles.</w:t>
      </w:r>
    </w:p>
    <w:p w14:paraId="31727208" w14:textId="77777777" w:rsidR="007210C2" w:rsidRPr="007210C2" w:rsidRDefault="007210C2" w:rsidP="00E20E44">
      <w:pPr>
        <w:jc w:val="both"/>
      </w:pPr>
      <w:r w:rsidRPr="007210C2">
        <w:t>Du côté des ventes, les enjeux sont différents mais tout aussi exigeants. Lorsqu’une opération est taxable, l’établissement doit être en mesure d’émettre une facture conforme aux formats attendus, de gérer les rejets et d’assurer la cohérence des données transmises.</w:t>
      </w:r>
    </w:p>
    <w:p w14:paraId="0E8D5DB9" w14:textId="77777777" w:rsidR="007210C2" w:rsidRDefault="007210C2" w:rsidP="00E20E44">
      <w:pPr>
        <w:jc w:val="both"/>
        <w:rPr>
          <w:b/>
          <w:bCs/>
        </w:rPr>
      </w:pPr>
      <w:r w:rsidRPr="007210C2">
        <w:t xml:space="preserve">Mais dans le secteur financier, la difficulté tient souvent à une question préalable : </w:t>
      </w:r>
      <w:r w:rsidRPr="007210C2">
        <w:rPr>
          <w:b/>
          <w:bCs/>
        </w:rPr>
        <w:t>faut-il facturer ?</w:t>
      </w:r>
    </w:p>
    <w:p w14:paraId="08D86E05" w14:textId="77777777" w:rsidR="00AB0F81" w:rsidRPr="007210C2" w:rsidRDefault="00AB0F81" w:rsidP="00E20E44">
      <w:pPr>
        <w:jc w:val="both"/>
      </w:pPr>
    </w:p>
    <w:p w14:paraId="2734A45C" w14:textId="77777777" w:rsidR="007210C2" w:rsidRPr="007210C2" w:rsidRDefault="007210C2" w:rsidP="00E20E44">
      <w:pPr>
        <w:jc w:val="both"/>
        <w:rPr>
          <w:b/>
          <w:bCs/>
        </w:rPr>
      </w:pPr>
      <w:r w:rsidRPr="007210C2">
        <w:rPr>
          <w:b/>
          <w:bCs/>
        </w:rPr>
        <w:t>Les refacturations internes : une frontière incertaine</w:t>
      </w:r>
    </w:p>
    <w:p w14:paraId="2992219C" w14:textId="77777777" w:rsidR="007210C2" w:rsidRPr="007210C2" w:rsidRDefault="007210C2" w:rsidP="00E20E44">
      <w:pPr>
        <w:jc w:val="both"/>
      </w:pPr>
      <w:r w:rsidRPr="007210C2">
        <w:t>La banque est, par nature, une organisation mutualisée. Les fonctions IT, les plateformes de données, les équipes de conformité ou de gestion des risques sont souvent centralisées, puis refacturées aux différentes entités du groupe.</w:t>
      </w:r>
    </w:p>
    <w:p w14:paraId="66201C63" w14:textId="77777777" w:rsidR="007210C2" w:rsidRPr="007210C2" w:rsidRDefault="007210C2" w:rsidP="00E20E44">
      <w:pPr>
        <w:jc w:val="both"/>
      </w:pPr>
      <w:r w:rsidRPr="007210C2">
        <w:t>Ces refacturations constituent l’un des principaux points de complexité de la réforme.</w:t>
      </w:r>
    </w:p>
    <w:p w14:paraId="78EDDD13" w14:textId="77777777" w:rsidR="007210C2" w:rsidRPr="007210C2" w:rsidRDefault="007210C2" w:rsidP="00E20E44">
      <w:pPr>
        <w:jc w:val="both"/>
      </w:pPr>
      <w:r w:rsidRPr="007210C2">
        <w:t>D’abord, parce que toutes les refacturations ne sont pas des factures. Certaines relèvent de simples écritures internes, sans portée fiscale. D’autres, en revanche, constituent de véritables prestations de services, soumises à TVA.</w:t>
      </w:r>
    </w:p>
    <w:p w14:paraId="58471D4F" w14:textId="3392A469" w:rsidR="007210C2" w:rsidRPr="007210C2" w:rsidRDefault="007210C2" w:rsidP="00E20E44">
      <w:pPr>
        <w:jc w:val="both"/>
      </w:pPr>
      <w:r w:rsidRPr="007210C2">
        <w:t>La distinction n’est pas toujours évidente. Une refacturation informatique, par exemple, peut être réalisée au coût, dans le cadre d’un groupement, ou avec une marge, auquel cas elle devient taxable. Une refacturation d’intérêts reste exonérée, mais l’ajout de frais de gestion peut la faire basculer dans le champ taxable.</w:t>
      </w:r>
      <w:r w:rsidR="00AB0F81">
        <w:t xml:space="preserve"> La mise en place d’un groupe TVA apporte une solution radicale : </w:t>
      </w:r>
      <w:r w:rsidR="00AB0F81" w:rsidRPr="00A00E4D">
        <w:t xml:space="preserve">les opérations internes sont hors champ de </w:t>
      </w:r>
      <w:r w:rsidR="00AB0F81">
        <w:t>la réforme</w:t>
      </w:r>
      <w:r w:rsidR="00AB0F81" w:rsidRPr="00A00E4D">
        <w:t>.</w:t>
      </w:r>
    </w:p>
    <w:p w14:paraId="3B3C3FD5" w14:textId="77777777" w:rsidR="007210C2" w:rsidRPr="007210C2" w:rsidRDefault="007210C2" w:rsidP="00E20E44">
      <w:pPr>
        <w:jc w:val="both"/>
      </w:pPr>
      <w:r w:rsidRPr="007210C2">
        <w:lastRenderedPageBreak/>
        <w:t xml:space="preserve">Ensuite, parce que ces flux sont souvent </w:t>
      </w:r>
      <w:r w:rsidRPr="007210C2">
        <w:rPr>
          <w:b/>
          <w:bCs/>
        </w:rPr>
        <w:t>multi-bénéficiaires</w:t>
      </w:r>
      <w:r w:rsidRPr="007210C2">
        <w:t>. Une même dépense peut être ventilée entre plusieurs entités, nécessitant autant de factures ou un mécanisme d’allocation robuste.</w:t>
      </w:r>
    </w:p>
    <w:p w14:paraId="1169A9F2" w14:textId="67321E30" w:rsidR="007210C2" w:rsidRPr="007210C2" w:rsidRDefault="007210C2" w:rsidP="00E20E44">
      <w:pPr>
        <w:jc w:val="both"/>
      </w:pPr>
      <w:r w:rsidRPr="007210C2">
        <w:t xml:space="preserve">La facturation électronique impose ici une discipline nouvelle : chaque flux doit être </w:t>
      </w:r>
      <w:r w:rsidRPr="007210C2">
        <w:rPr>
          <w:b/>
          <w:bCs/>
        </w:rPr>
        <w:t>qualifié</w:t>
      </w:r>
      <w:r w:rsidRPr="007210C2">
        <w:t>, documenté, tracé. L’erreur n’est plus seulement comptable ; elle devient fiscale.</w:t>
      </w:r>
    </w:p>
    <w:p w14:paraId="512B0D5D" w14:textId="77777777" w:rsidR="007210C2" w:rsidRDefault="007210C2" w:rsidP="00E20E44">
      <w:pPr>
        <w:jc w:val="both"/>
      </w:pPr>
    </w:p>
    <w:p w14:paraId="05167C55" w14:textId="7BAC7CC7" w:rsidR="007210C2" w:rsidRPr="007210C2" w:rsidRDefault="007210C2" w:rsidP="00E20E44">
      <w:pPr>
        <w:jc w:val="both"/>
        <w:rPr>
          <w:b/>
          <w:bCs/>
        </w:rPr>
      </w:pPr>
      <w:r w:rsidRPr="007210C2">
        <w:rPr>
          <w:b/>
          <w:bCs/>
        </w:rPr>
        <w:t xml:space="preserve">La TVA partiellement déductible : une mécanique délicate </w:t>
      </w:r>
    </w:p>
    <w:p w14:paraId="4AAC795B" w14:textId="77777777" w:rsidR="007210C2" w:rsidRPr="007210C2" w:rsidRDefault="007210C2" w:rsidP="00E20E44">
      <w:pPr>
        <w:jc w:val="both"/>
      </w:pPr>
      <w:r w:rsidRPr="007210C2">
        <w:t>Autre spécificité du secteur bancaire : la gestion de la TVA sur les achats.</w:t>
      </w:r>
    </w:p>
    <w:p w14:paraId="55B885E7" w14:textId="77777777" w:rsidR="007210C2" w:rsidRPr="007210C2" w:rsidRDefault="007210C2" w:rsidP="00E20E44">
      <w:pPr>
        <w:jc w:val="both"/>
      </w:pPr>
      <w:r w:rsidRPr="007210C2">
        <w:t xml:space="preserve">Les établissements financiers, exerçant majoritairement des activités exonérées, ne peuvent pas toujours déduire la TVA supportée. Ils appliquent des </w:t>
      </w:r>
      <w:r w:rsidRPr="007210C2">
        <w:rPr>
          <w:b/>
          <w:bCs/>
        </w:rPr>
        <w:t>coefficients de déduction</w:t>
      </w:r>
      <w:r w:rsidRPr="007210C2">
        <w:t>, souvent complexes, reposant sur des proratas ou des affectations directes.</w:t>
      </w:r>
    </w:p>
    <w:p w14:paraId="22F5D3B3" w14:textId="77777777" w:rsidR="007210C2" w:rsidRPr="007210C2" w:rsidRDefault="007210C2" w:rsidP="00E20E44">
      <w:pPr>
        <w:jc w:val="both"/>
      </w:pPr>
      <w:r w:rsidRPr="007210C2">
        <w:t>La facturation électronique ne modifie pas ces règles, mais elle en accentue la visibilité et les exigences.</w:t>
      </w:r>
    </w:p>
    <w:p w14:paraId="4BC73944" w14:textId="77777777" w:rsidR="007210C2" w:rsidRPr="007210C2" w:rsidRDefault="007210C2" w:rsidP="00E20E44">
      <w:pPr>
        <w:jc w:val="both"/>
      </w:pPr>
      <w:r w:rsidRPr="007210C2">
        <w:t>Chaque facture reçue contient désormais des données précises sur la TVA facturée. Mais la TVA déductible dépend de règles internes : usage de la dépense, affectation à une activité taxable ou exonérée, application d’un prorata.</w:t>
      </w:r>
    </w:p>
    <w:p w14:paraId="34ECCB3B" w14:textId="77777777" w:rsidR="007210C2" w:rsidRPr="007210C2" w:rsidRDefault="007210C2" w:rsidP="00E20E44">
      <w:pPr>
        <w:jc w:val="both"/>
      </w:pPr>
      <w:r w:rsidRPr="007210C2">
        <w:t xml:space="preserve">Concrètement, cela signifie qu’une même facture peut devoir être </w:t>
      </w:r>
      <w:r w:rsidRPr="007210C2">
        <w:rPr>
          <w:b/>
          <w:bCs/>
        </w:rPr>
        <w:t>ventilée</w:t>
      </w:r>
      <w:r w:rsidRPr="007210C2">
        <w:t xml:space="preserve"> :</w:t>
      </w:r>
    </w:p>
    <w:p w14:paraId="7B3D74FD" w14:textId="77777777" w:rsidR="007210C2" w:rsidRPr="007210C2" w:rsidRDefault="007210C2" w:rsidP="00E20E44">
      <w:pPr>
        <w:numPr>
          <w:ilvl w:val="0"/>
          <w:numId w:val="1"/>
        </w:numPr>
        <w:jc w:val="both"/>
      </w:pPr>
      <w:r w:rsidRPr="007210C2">
        <w:t>une partie avec TVA récupérable,</w:t>
      </w:r>
    </w:p>
    <w:p w14:paraId="7FBE16F3" w14:textId="77777777" w:rsidR="007210C2" w:rsidRPr="007210C2" w:rsidRDefault="007210C2" w:rsidP="00E20E44">
      <w:pPr>
        <w:numPr>
          <w:ilvl w:val="0"/>
          <w:numId w:val="1"/>
        </w:numPr>
        <w:jc w:val="both"/>
      </w:pPr>
      <w:r w:rsidRPr="007210C2">
        <w:t>une autre non déductible,</w:t>
      </w:r>
    </w:p>
    <w:p w14:paraId="3A837106" w14:textId="77777777" w:rsidR="007210C2" w:rsidRPr="007210C2" w:rsidRDefault="007210C2" w:rsidP="00E20E44">
      <w:pPr>
        <w:numPr>
          <w:ilvl w:val="0"/>
          <w:numId w:val="1"/>
        </w:numPr>
        <w:jc w:val="both"/>
      </w:pPr>
      <w:r w:rsidRPr="007210C2">
        <w:t>voire une répartition selon une clé.</w:t>
      </w:r>
    </w:p>
    <w:p w14:paraId="5F93B9B0" w14:textId="77777777" w:rsidR="007210C2" w:rsidRPr="007210C2" w:rsidRDefault="007210C2" w:rsidP="00E20E44">
      <w:pPr>
        <w:jc w:val="both"/>
      </w:pPr>
      <w:r w:rsidRPr="007210C2">
        <w:t>Dans un environnement où les flux sont automatisés, cette complexité peut devenir un point de friction majeur. Une mauvaise affectation initiale peut se propager dans tout le système, affectant la déclaration de TVA et les contrôles.</w:t>
      </w:r>
    </w:p>
    <w:p w14:paraId="41476BDB" w14:textId="77777777" w:rsidR="007210C2" w:rsidRPr="007210C2" w:rsidRDefault="007210C2" w:rsidP="00E20E44">
      <w:pPr>
        <w:jc w:val="both"/>
      </w:pPr>
      <w:r w:rsidRPr="007210C2">
        <w:t>La réforme impose donc de renforcer les dispositifs de contrôle : cohérence entre TVA facturée et TVA déduite, traçabilité des règles d’affectation, documentation des coefficients.</w:t>
      </w:r>
    </w:p>
    <w:p w14:paraId="48A2F907" w14:textId="77777777" w:rsidR="007210C2" w:rsidRDefault="007210C2" w:rsidP="00E20E44">
      <w:pPr>
        <w:jc w:val="both"/>
      </w:pPr>
    </w:p>
    <w:p w14:paraId="10725063" w14:textId="233BCFE3" w:rsidR="007210C2" w:rsidRPr="007210C2" w:rsidRDefault="007210C2" w:rsidP="00E20E44">
      <w:pPr>
        <w:jc w:val="both"/>
        <w:rPr>
          <w:b/>
          <w:bCs/>
        </w:rPr>
      </w:pPr>
      <w:r w:rsidRPr="007210C2">
        <w:rPr>
          <w:b/>
          <w:bCs/>
        </w:rPr>
        <w:t>Le prorata de déduction : entre temporalité et traçabilité</w:t>
      </w:r>
    </w:p>
    <w:p w14:paraId="0C82A5BB" w14:textId="77777777" w:rsidR="007210C2" w:rsidRPr="007210C2" w:rsidRDefault="007210C2" w:rsidP="00E20E44">
      <w:pPr>
        <w:jc w:val="both"/>
      </w:pPr>
      <w:r w:rsidRPr="007210C2">
        <w:t>Le recours au prorata introduit une dimension supplémentaire : celle du temps.</w:t>
      </w:r>
    </w:p>
    <w:p w14:paraId="0B1CC084" w14:textId="77777777" w:rsidR="007210C2" w:rsidRPr="007210C2" w:rsidRDefault="007210C2" w:rsidP="00E20E44">
      <w:pPr>
        <w:jc w:val="both"/>
      </w:pPr>
      <w:r w:rsidRPr="007210C2">
        <w:t>Dans de nombreux établissements, la TVA déductible est calculée de manière provisoire, puis ajustée en fin d’exercice lorsque le prorata définitif est connu. Cette mécanique suppose des régularisations, parfois significatives.</w:t>
      </w:r>
    </w:p>
    <w:p w14:paraId="691249AA" w14:textId="77777777" w:rsidR="007210C2" w:rsidRPr="007210C2" w:rsidRDefault="007210C2" w:rsidP="00E20E44">
      <w:pPr>
        <w:jc w:val="both"/>
      </w:pPr>
      <w:r w:rsidRPr="007210C2">
        <w:lastRenderedPageBreak/>
        <w:t>La facturation électronique n’altère pas ce principe, mais elle exige que chaque étape soit traçable. L’administration dispose désormais de données plus fines, plus fréquentes, plus exploitables.</w:t>
      </w:r>
    </w:p>
    <w:p w14:paraId="7DA0E40F" w14:textId="77777777" w:rsidR="007210C2" w:rsidRPr="007210C2" w:rsidRDefault="007210C2" w:rsidP="00E20E44">
      <w:pPr>
        <w:jc w:val="both"/>
      </w:pPr>
      <w:r w:rsidRPr="007210C2">
        <w:t>Les établissements doivent être en mesure d’expliquer :</w:t>
      </w:r>
    </w:p>
    <w:p w14:paraId="205A0378" w14:textId="77777777" w:rsidR="007210C2" w:rsidRPr="007210C2" w:rsidRDefault="007210C2" w:rsidP="00E20E44">
      <w:pPr>
        <w:numPr>
          <w:ilvl w:val="0"/>
          <w:numId w:val="2"/>
        </w:numPr>
        <w:jc w:val="both"/>
      </w:pPr>
      <w:r w:rsidRPr="007210C2">
        <w:t>comment le prorata est calculé,</w:t>
      </w:r>
    </w:p>
    <w:p w14:paraId="3843DB5A" w14:textId="77777777" w:rsidR="007210C2" w:rsidRPr="007210C2" w:rsidRDefault="007210C2" w:rsidP="00E20E44">
      <w:pPr>
        <w:numPr>
          <w:ilvl w:val="0"/>
          <w:numId w:val="2"/>
        </w:numPr>
        <w:jc w:val="both"/>
      </w:pPr>
      <w:r w:rsidRPr="007210C2">
        <w:t>comment il est appliqué,</w:t>
      </w:r>
    </w:p>
    <w:p w14:paraId="1E42CD7C" w14:textId="77777777" w:rsidR="007210C2" w:rsidRPr="007210C2" w:rsidRDefault="007210C2" w:rsidP="00E20E44">
      <w:pPr>
        <w:numPr>
          <w:ilvl w:val="0"/>
          <w:numId w:val="2"/>
        </w:numPr>
        <w:jc w:val="both"/>
      </w:pPr>
      <w:r w:rsidRPr="007210C2">
        <w:t>comment les régularisations sont effectuées.</w:t>
      </w:r>
    </w:p>
    <w:p w14:paraId="03D1D3F5" w14:textId="77777777" w:rsidR="007210C2" w:rsidRPr="007210C2" w:rsidRDefault="007210C2" w:rsidP="00E20E44">
      <w:pPr>
        <w:jc w:val="both"/>
      </w:pPr>
      <w:r w:rsidRPr="007210C2">
        <w:t>La facture devient ainsi le point de départ d’une chaîne de justification qui s’étend jusqu’à la déclaration fiscale.</w:t>
      </w:r>
    </w:p>
    <w:p w14:paraId="1FB7B48B" w14:textId="77777777" w:rsidR="007210C2" w:rsidRDefault="007210C2" w:rsidP="00E20E44">
      <w:pPr>
        <w:jc w:val="both"/>
      </w:pPr>
    </w:p>
    <w:p w14:paraId="2A092E31" w14:textId="2F3858E9" w:rsidR="007210C2" w:rsidRPr="007210C2" w:rsidRDefault="007210C2" w:rsidP="00E20E44">
      <w:pPr>
        <w:jc w:val="both"/>
        <w:rPr>
          <w:b/>
          <w:bCs/>
        </w:rPr>
      </w:pPr>
      <w:r w:rsidRPr="007210C2">
        <w:rPr>
          <w:b/>
          <w:bCs/>
        </w:rPr>
        <w:t>Les contrats multi-échéances : la fin d’un modèle implicite</w:t>
      </w:r>
    </w:p>
    <w:p w14:paraId="3D3DC519" w14:textId="77777777" w:rsidR="007210C2" w:rsidRPr="007210C2" w:rsidRDefault="007210C2" w:rsidP="00E20E44">
      <w:pPr>
        <w:jc w:val="both"/>
      </w:pPr>
      <w:r w:rsidRPr="007210C2">
        <w:t>Le crédit-bail et les financements locatifs illustrent une autre spécificité du secteur : les contrats à paiements échelonnés.</w:t>
      </w:r>
    </w:p>
    <w:p w14:paraId="05BF2BE0" w14:textId="77777777" w:rsidR="007210C2" w:rsidRPr="007210C2" w:rsidRDefault="007210C2" w:rsidP="00E20E44">
      <w:pPr>
        <w:jc w:val="both"/>
      </w:pPr>
      <w:r w:rsidRPr="007210C2">
        <w:t>Traditionnellement, ces contrats reposent sur un échéancier. Le client signe un document global, les prélèvements sont automatiques, et la facturation peut être implicite ou regroupée.</w:t>
      </w:r>
    </w:p>
    <w:p w14:paraId="1202D10C" w14:textId="77777777" w:rsidR="007210C2" w:rsidRPr="007210C2" w:rsidRDefault="007210C2" w:rsidP="00E20E44">
      <w:pPr>
        <w:jc w:val="both"/>
      </w:pPr>
      <w:r w:rsidRPr="007210C2">
        <w:t>La facturation électronique vient bouleverser cet équilibre.</w:t>
      </w:r>
    </w:p>
    <w:p w14:paraId="111A7455" w14:textId="77777777" w:rsidR="007210C2" w:rsidRPr="007210C2" w:rsidRDefault="007210C2" w:rsidP="00E20E44">
      <w:pPr>
        <w:jc w:val="both"/>
      </w:pPr>
      <w:r w:rsidRPr="007210C2">
        <w:t xml:space="preserve">En principe, la TVA est exigible à chaque échéance. Cela conduit, dans de nombreux cas, à privilégier une </w:t>
      </w:r>
      <w:r w:rsidRPr="007210C2">
        <w:rPr>
          <w:b/>
          <w:bCs/>
        </w:rPr>
        <w:t>facture par échéance</w:t>
      </w:r>
      <w:r w:rsidRPr="007210C2">
        <w:t>, chaque loyer donnant lieu à un flux électronique distinct.</w:t>
      </w:r>
    </w:p>
    <w:p w14:paraId="3EED927B" w14:textId="77777777" w:rsidR="007210C2" w:rsidRPr="007210C2" w:rsidRDefault="007210C2" w:rsidP="00E20E44">
      <w:pPr>
        <w:jc w:val="both"/>
      </w:pPr>
      <w:r w:rsidRPr="007210C2">
        <w:t>Dans les modèles historiques, où l’échéancier faisait office de support de facturation, cette évolution impose une refonte des systèmes. L’ERP doit être capable de générer des factures unitaires, de les transmettre, de gérer les rejets.</w:t>
      </w:r>
    </w:p>
    <w:p w14:paraId="3B195BF7" w14:textId="77777777" w:rsidR="007210C2" w:rsidRPr="007210C2" w:rsidRDefault="007210C2" w:rsidP="00E20E44">
      <w:pPr>
        <w:jc w:val="both"/>
      </w:pPr>
      <w:r w:rsidRPr="007210C2">
        <w:t>Pour les acteurs du leasing, la volumétrie devient un enjeu majeur. Des milliers de contrats, des dizaines de milliers d’échéances mensuelles, des événements de vie multiples — modifications, suspensions, résiliations — viennent complexifier la gestion.</w:t>
      </w:r>
    </w:p>
    <w:p w14:paraId="56E9E00E" w14:textId="77777777" w:rsidR="007210C2" w:rsidRPr="007210C2" w:rsidRDefault="007210C2" w:rsidP="00E20E44">
      <w:pPr>
        <w:jc w:val="both"/>
      </w:pPr>
      <w:r w:rsidRPr="007210C2">
        <w:t>Chaque événement peut donner lieu à une facture, un avoir, une correction. La traçabilité devient essentielle, et la moindre erreur peut se répercuter à grande échelle.</w:t>
      </w:r>
    </w:p>
    <w:p w14:paraId="6545644E" w14:textId="77777777" w:rsidR="007210C2" w:rsidRPr="007210C2" w:rsidRDefault="007210C2" w:rsidP="00E20E44">
      <w:pPr>
        <w:jc w:val="both"/>
      </w:pPr>
      <w:r w:rsidRPr="007210C2">
        <w:t xml:space="preserve">La réforme transforme ainsi un processus autrefois implicite en une </w:t>
      </w:r>
      <w:r w:rsidRPr="007210C2">
        <w:rPr>
          <w:b/>
          <w:bCs/>
        </w:rPr>
        <w:t>chaîne documentaire rigoureuse et explicite</w:t>
      </w:r>
      <w:r w:rsidRPr="007210C2">
        <w:t>.</w:t>
      </w:r>
    </w:p>
    <w:p w14:paraId="469B3DD3" w14:textId="77777777" w:rsidR="007210C2" w:rsidRDefault="007210C2" w:rsidP="00E20E44">
      <w:pPr>
        <w:jc w:val="both"/>
      </w:pPr>
    </w:p>
    <w:p w14:paraId="771E9896" w14:textId="6596006D" w:rsidR="007210C2" w:rsidRPr="007210C2" w:rsidRDefault="007210C2" w:rsidP="00E20E44">
      <w:pPr>
        <w:jc w:val="both"/>
        <w:rPr>
          <w:b/>
          <w:bCs/>
        </w:rPr>
      </w:pPr>
      <w:r w:rsidRPr="007210C2">
        <w:rPr>
          <w:b/>
          <w:bCs/>
        </w:rPr>
        <w:t>Des impacts qui dépassent la fiscalité : vers une transformation globale</w:t>
      </w:r>
    </w:p>
    <w:p w14:paraId="6BD0B145" w14:textId="77777777" w:rsidR="007210C2" w:rsidRPr="007210C2" w:rsidRDefault="007210C2" w:rsidP="00E20E44">
      <w:pPr>
        <w:jc w:val="both"/>
      </w:pPr>
      <w:r w:rsidRPr="007210C2">
        <w:lastRenderedPageBreak/>
        <w:t>Au-delà des aspects fiscaux, la facturation électronique a des implications profondes en matière de gouvernance, de systèmes d’information et de gestion des risques.</w:t>
      </w:r>
    </w:p>
    <w:p w14:paraId="402D8ACB" w14:textId="77777777" w:rsidR="007210C2" w:rsidRPr="007210C2" w:rsidRDefault="007210C2" w:rsidP="00E20E44">
      <w:pPr>
        <w:jc w:val="both"/>
      </w:pPr>
      <w:r w:rsidRPr="007210C2">
        <w:t xml:space="preserve">Le recours à des plateformes de dématérialisation introduit des dépendances nouvelles vis-à-vis de prestataires externes. Pour des établissements régulés, cela suppose une intégration dans les dispositifs de gestion des risques : sécurité, continuité, </w:t>
      </w:r>
      <w:proofErr w:type="spellStart"/>
      <w:r w:rsidRPr="007210C2">
        <w:t>auditabilité</w:t>
      </w:r>
      <w:proofErr w:type="spellEnd"/>
      <w:r w:rsidRPr="007210C2">
        <w:t>.</w:t>
      </w:r>
    </w:p>
    <w:p w14:paraId="2E3268C9" w14:textId="77777777" w:rsidR="007210C2" w:rsidRPr="007210C2" w:rsidRDefault="007210C2" w:rsidP="00E20E44">
      <w:pPr>
        <w:jc w:val="both"/>
      </w:pPr>
      <w:r w:rsidRPr="007210C2">
        <w:t>La donnée elle-même devient un actif critique. Les factures peuvent contenir des informations sensibles, parfois personnelles, nécessitant des contrôles d’accès et des politiques de conservation adaptées.</w:t>
      </w:r>
    </w:p>
    <w:p w14:paraId="5EEAB518" w14:textId="77777777" w:rsidR="007210C2" w:rsidRPr="007210C2" w:rsidRDefault="007210C2" w:rsidP="00E20E44">
      <w:pPr>
        <w:jc w:val="both"/>
      </w:pPr>
      <w:r w:rsidRPr="007210C2">
        <w:t>Enfin, la réforme impose une nouvelle discipline organisationnelle. Elle nécessite des projets transverses, mobilisant les directions fiscales, comptables, informatiques et opérationnelles. Elle suppose une conduite du changement, une formation des équipes, une redéfinition des rôles et des responsabilités.</w:t>
      </w:r>
    </w:p>
    <w:p w14:paraId="2111E6D2" w14:textId="77777777" w:rsidR="007210C2" w:rsidRDefault="007210C2" w:rsidP="00E20E44">
      <w:pPr>
        <w:jc w:val="both"/>
      </w:pPr>
    </w:p>
    <w:p w14:paraId="3B7D74C6" w14:textId="4C9F9487" w:rsidR="007210C2" w:rsidRPr="007210C2" w:rsidRDefault="007210C2" w:rsidP="00E20E44">
      <w:pPr>
        <w:jc w:val="both"/>
        <w:rPr>
          <w:b/>
          <w:bCs/>
        </w:rPr>
      </w:pPr>
      <w:r w:rsidRPr="007210C2">
        <w:rPr>
          <w:b/>
          <w:bCs/>
        </w:rPr>
        <w:t>Conclusion</w:t>
      </w:r>
    </w:p>
    <w:p w14:paraId="56F5B010" w14:textId="77777777" w:rsidR="007210C2" w:rsidRPr="007210C2" w:rsidRDefault="007210C2" w:rsidP="00E20E44">
      <w:pPr>
        <w:jc w:val="both"/>
      </w:pPr>
      <w:r w:rsidRPr="007210C2">
        <w:t>La facturation électronique pourrait, à première vue, apparaître comme une réforme technique, un ajustement des modalités de facturation à l’ère numérique. Mais pour le secteur financier, elle constitue bien davantage.</w:t>
      </w:r>
    </w:p>
    <w:p w14:paraId="2A703160" w14:textId="77777777" w:rsidR="007210C2" w:rsidRPr="007210C2" w:rsidRDefault="007210C2" w:rsidP="00E20E44">
      <w:pPr>
        <w:jc w:val="both"/>
      </w:pPr>
      <w:r w:rsidRPr="007210C2">
        <w:t>Elle met en lumière la complexité des flux, la subtilité des règles fiscales, la richesse — et parfois la fragilité — des systèmes d’information. Elle impose une rigueur nouvelle, une cohérence de bout en bout, une capacité à relier chaque facture à son origine, à son traitement et à son impact fiscal.</w:t>
      </w:r>
    </w:p>
    <w:p w14:paraId="2D23085E" w14:textId="77777777" w:rsidR="007210C2" w:rsidRPr="007210C2" w:rsidRDefault="007210C2" w:rsidP="00E20E44">
      <w:pPr>
        <w:jc w:val="both"/>
      </w:pPr>
      <w:r w:rsidRPr="007210C2">
        <w:t xml:space="preserve">Dans un univers où la majorité des opérations échappe à la TVA, le véritable défi n’est pas tant de produire des factures électroniques que de </w:t>
      </w:r>
      <w:r w:rsidRPr="007210C2">
        <w:rPr>
          <w:b/>
          <w:bCs/>
        </w:rPr>
        <w:t>savoir quand et comment les produire</w:t>
      </w:r>
      <w:r w:rsidRPr="007210C2">
        <w:t>. C’est dans cette capacité à qualifier, à structurer et à tracer que se joue la réussite de la réforme.</w:t>
      </w:r>
    </w:p>
    <w:p w14:paraId="3404C57B" w14:textId="08BD02E3" w:rsidR="007210C2" w:rsidRPr="007210C2" w:rsidRDefault="007210C2" w:rsidP="00E20E44">
      <w:pPr>
        <w:jc w:val="both"/>
      </w:pPr>
      <w:r w:rsidRPr="007210C2">
        <w:t>Ainsi, la facturation électronique ne se contente pas de moderniser les échanges : elle redessine les contours de la fonction financière</w:t>
      </w:r>
      <w:r w:rsidR="00AB0F81">
        <w:t>, mais aussi de nombreuses autres fonctions (commerciales, middle et back office, …) qui doivent se sentir impliquées dans cette réforme.</w:t>
      </w:r>
      <w:r w:rsidRPr="007210C2">
        <w:t xml:space="preserve"> Elle invite les établissements à repenser leurs processus, à renforcer leur gouvernance de la donnée, et, peut-être, à transformer une contrainte réglementaire en levier d’efficacité.</w:t>
      </w:r>
    </w:p>
    <w:p w14:paraId="3618D687" w14:textId="77777777" w:rsidR="007210C2" w:rsidRPr="007210C2" w:rsidRDefault="007210C2" w:rsidP="00E20E44">
      <w:pPr>
        <w:jc w:val="both"/>
      </w:pPr>
      <w:r w:rsidRPr="007210C2">
        <w:t>Car, au fond, toute réforme fiscale est aussi une opportunité — pour ceux qui savent en saisir la portée.</w:t>
      </w:r>
    </w:p>
    <w:p w14:paraId="10701897" w14:textId="77777777" w:rsidR="00E20E44" w:rsidRDefault="00E20E44"/>
    <w:sectPr w:rsidR="00E20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251DA"/>
    <w:multiLevelType w:val="multilevel"/>
    <w:tmpl w:val="D68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A6AB3"/>
    <w:multiLevelType w:val="multilevel"/>
    <w:tmpl w:val="4A18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285521">
    <w:abstractNumId w:val="0"/>
  </w:num>
  <w:num w:numId="2" w16cid:durableId="104644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C2"/>
    <w:rsid w:val="000364F0"/>
    <w:rsid w:val="000B1723"/>
    <w:rsid w:val="001D444C"/>
    <w:rsid w:val="002D4790"/>
    <w:rsid w:val="003640D7"/>
    <w:rsid w:val="003764DC"/>
    <w:rsid w:val="003E0858"/>
    <w:rsid w:val="005A028E"/>
    <w:rsid w:val="006D7357"/>
    <w:rsid w:val="00702EB4"/>
    <w:rsid w:val="007210C2"/>
    <w:rsid w:val="00745219"/>
    <w:rsid w:val="007F2E1C"/>
    <w:rsid w:val="008853F1"/>
    <w:rsid w:val="009C3303"/>
    <w:rsid w:val="00A27F4D"/>
    <w:rsid w:val="00AB0F81"/>
    <w:rsid w:val="00AC2688"/>
    <w:rsid w:val="00B87E46"/>
    <w:rsid w:val="00BB171E"/>
    <w:rsid w:val="00D652B5"/>
    <w:rsid w:val="00E20E44"/>
    <w:rsid w:val="00E75758"/>
    <w:rsid w:val="00F605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DDF7"/>
  <w15:chartTrackingRefBased/>
  <w15:docId w15:val="{C474382E-9AF5-47D4-A357-71E965AF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1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1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10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10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10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10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10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10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10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0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10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10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10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10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10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10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10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10C2"/>
    <w:rPr>
      <w:rFonts w:eastAsiaTheme="majorEastAsia" w:cstheme="majorBidi"/>
      <w:color w:val="272727" w:themeColor="text1" w:themeTint="D8"/>
    </w:rPr>
  </w:style>
  <w:style w:type="paragraph" w:styleId="Titre">
    <w:name w:val="Title"/>
    <w:basedOn w:val="Normal"/>
    <w:next w:val="Normal"/>
    <w:link w:val="TitreCar"/>
    <w:uiPriority w:val="10"/>
    <w:qFormat/>
    <w:rsid w:val="00721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10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10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10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10C2"/>
    <w:pPr>
      <w:spacing w:before="160"/>
      <w:jc w:val="center"/>
    </w:pPr>
    <w:rPr>
      <w:i/>
      <w:iCs/>
      <w:color w:val="404040" w:themeColor="text1" w:themeTint="BF"/>
    </w:rPr>
  </w:style>
  <w:style w:type="character" w:customStyle="1" w:styleId="CitationCar">
    <w:name w:val="Citation Car"/>
    <w:basedOn w:val="Policepardfaut"/>
    <w:link w:val="Citation"/>
    <w:uiPriority w:val="29"/>
    <w:rsid w:val="007210C2"/>
    <w:rPr>
      <w:i/>
      <w:iCs/>
      <w:color w:val="404040" w:themeColor="text1" w:themeTint="BF"/>
    </w:rPr>
  </w:style>
  <w:style w:type="paragraph" w:styleId="Paragraphedeliste">
    <w:name w:val="List Paragraph"/>
    <w:basedOn w:val="Normal"/>
    <w:uiPriority w:val="34"/>
    <w:qFormat/>
    <w:rsid w:val="007210C2"/>
    <w:pPr>
      <w:ind w:left="720"/>
      <w:contextualSpacing/>
    </w:pPr>
  </w:style>
  <w:style w:type="character" w:styleId="Accentuationintense">
    <w:name w:val="Intense Emphasis"/>
    <w:basedOn w:val="Policepardfaut"/>
    <w:uiPriority w:val="21"/>
    <w:qFormat/>
    <w:rsid w:val="007210C2"/>
    <w:rPr>
      <w:i/>
      <w:iCs/>
      <w:color w:val="0F4761" w:themeColor="accent1" w:themeShade="BF"/>
    </w:rPr>
  </w:style>
  <w:style w:type="paragraph" w:styleId="Citationintense">
    <w:name w:val="Intense Quote"/>
    <w:basedOn w:val="Normal"/>
    <w:next w:val="Normal"/>
    <w:link w:val="CitationintenseCar"/>
    <w:uiPriority w:val="30"/>
    <w:qFormat/>
    <w:rsid w:val="00721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10C2"/>
    <w:rPr>
      <w:i/>
      <w:iCs/>
      <w:color w:val="0F4761" w:themeColor="accent1" w:themeShade="BF"/>
    </w:rPr>
  </w:style>
  <w:style w:type="character" w:styleId="Rfrenceintense">
    <w:name w:val="Intense Reference"/>
    <w:basedOn w:val="Policepardfaut"/>
    <w:uiPriority w:val="32"/>
    <w:qFormat/>
    <w:rsid w:val="007210C2"/>
    <w:rPr>
      <w:b/>
      <w:bCs/>
      <w:smallCaps/>
      <w:color w:val="0F4761" w:themeColor="accent1" w:themeShade="BF"/>
      <w:spacing w:val="5"/>
    </w:rPr>
  </w:style>
  <w:style w:type="paragraph" w:styleId="Rvision">
    <w:name w:val="Revision"/>
    <w:hidden/>
    <w:uiPriority w:val="99"/>
    <w:semiHidden/>
    <w:rsid w:val="00A27F4D"/>
    <w:pPr>
      <w:spacing w:after="0" w:line="240" w:lineRule="auto"/>
    </w:pPr>
  </w:style>
  <w:style w:type="character" w:styleId="Marquedecommentaire">
    <w:name w:val="annotation reference"/>
    <w:basedOn w:val="Policepardfaut"/>
    <w:uiPriority w:val="99"/>
    <w:semiHidden/>
    <w:unhideWhenUsed/>
    <w:rsid w:val="008853F1"/>
    <w:rPr>
      <w:sz w:val="16"/>
      <w:szCs w:val="16"/>
    </w:rPr>
  </w:style>
  <w:style w:type="paragraph" w:styleId="Commentaire">
    <w:name w:val="annotation text"/>
    <w:basedOn w:val="Normal"/>
    <w:link w:val="CommentaireCar"/>
    <w:uiPriority w:val="99"/>
    <w:unhideWhenUsed/>
    <w:rsid w:val="008853F1"/>
    <w:pPr>
      <w:spacing w:line="240" w:lineRule="auto"/>
    </w:pPr>
    <w:rPr>
      <w:sz w:val="20"/>
      <w:szCs w:val="20"/>
    </w:rPr>
  </w:style>
  <w:style w:type="character" w:customStyle="1" w:styleId="CommentaireCar">
    <w:name w:val="Commentaire Car"/>
    <w:basedOn w:val="Policepardfaut"/>
    <w:link w:val="Commentaire"/>
    <w:uiPriority w:val="99"/>
    <w:rsid w:val="008853F1"/>
    <w:rPr>
      <w:sz w:val="20"/>
      <w:szCs w:val="20"/>
    </w:rPr>
  </w:style>
  <w:style w:type="paragraph" w:styleId="Objetducommentaire">
    <w:name w:val="annotation subject"/>
    <w:basedOn w:val="Commentaire"/>
    <w:next w:val="Commentaire"/>
    <w:link w:val="ObjetducommentaireCar"/>
    <w:uiPriority w:val="99"/>
    <w:semiHidden/>
    <w:unhideWhenUsed/>
    <w:rsid w:val="008853F1"/>
    <w:rPr>
      <w:b/>
      <w:bCs/>
    </w:rPr>
  </w:style>
  <w:style w:type="character" w:customStyle="1" w:styleId="ObjetducommentaireCar">
    <w:name w:val="Objet du commentaire Car"/>
    <w:basedOn w:val="CommentaireCar"/>
    <w:link w:val="Objetducommentaire"/>
    <w:uiPriority w:val="99"/>
    <w:semiHidden/>
    <w:rsid w:val="008853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2081</Words>
  <Characters>11450</Characters>
  <Application>Microsoft Office Word</Application>
  <DocSecurity>0</DocSecurity>
  <Lines>95</Lines>
  <Paragraphs>27</Paragraphs>
  <ScaleCrop>false</ScaleCrop>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RENAULD Nathalie</dc:creator>
  <cp:keywords/>
  <dc:description/>
  <cp:lastModifiedBy>Chantal Charreron</cp:lastModifiedBy>
  <cp:revision>8</cp:revision>
  <dcterms:created xsi:type="dcterms:W3CDTF">2026-06-01T15:46:00Z</dcterms:created>
  <dcterms:modified xsi:type="dcterms:W3CDTF">2026-07-02T18:05:00Z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d18aa4-ed64-4d59-b931-5ad635491991_Enabled">
    <vt:lpwstr>true</vt:lpwstr>
  </property>
  <property fmtid="{D5CDD505-2E9C-101B-9397-08002B2CF9AE}" pid="3" name="MSIP_Label_7dd18aa4-ed64-4d59-b931-5ad635491991_SetDate">
    <vt:lpwstr>2026-03-27T12:29:39Z</vt:lpwstr>
  </property>
  <property fmtid="{D5CDD505-2E9C-101B-9397-08002B2CF9AE}" pid="4" name="MSIP_Label_7dd18aa4-ed64-4d59-b931-5ad635491991_Method">
    <vt:lpwstr>Privileged</vt:lpwstr>
  </property>
  <property fmtid="{D5CDD505-2E9C-101B-9397-08002B2CF9AE}" pid="5" name="MSIP_Label_7dd18aa4-ed64-4d59-b931-5ad635491991_Name">
    <vt:lpwstr>Standard</vt:lpwstr>
  </property>
  <property fmtid="{D5CDD505-2E9C-101B-9397-08002B2CF9AE}" pid="6" name="MSIP_Label_7dd18aa4-ed64-4d59-b931-5ad635491991_SiteId">
    <vt:lpwstr>d5bb6d35-8a82-4329-b49a-5030bd6497ab</vt:lpwstr>
  </property>
  <property fmtid="{D5CDD505-2E9C-101B-9397-08002B2CF9AE}" pid="7" name="MSIP_Label_7dd18aa4-ed64-4d59-b931-5ad635491991_ActionId">
    <vt:lpwstr>cf706bc9-cb20-4d2d-a45e-c590c7404d14</vt:lpwstr>
  </property>
  <property fmtid="{D5CDD505-2E9C-101B-9397-08002B2CF9AE}" pid="8" name="MSIP_Label_7dd18aa4-ed64-4d59-b931-5ad635491991_ContentBits">
    <vt:lpwstr>0</vt:lpwstr>
  </property>
  <property fmtid="{D5CDD505-2E9C-101B-9397-08002B2CF9AE}" pid="9" name="MSIP_Label_7dd18aa4-ed64-4d59-b931-5ad635491991_Tag">
    <vt:lpwstr>10, 0, 1, 1</vt:lpwstr>
  </property>
</Properties>
</file>